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AEFAB" w14:textId="77777777" w:rsidR="00A92CF7" w:rsidRPr="00A92CF7" w:rsidRDefault="00A92CF7" w:rsidP="00A92CF7">
      <w:pPr>
        <w:rPr>
          <w:b/>
          <w:bCs/>
        </w:rPr>
      </w:pPr>
      <w:r w:rsidRPr="00A92CF7">
        <w:rPr>
          <w:b/>
          <w:bCs/>
        </w:rPr>
        <w:t>Privacy Policy</w:t>
      </w:r>
    </w:p>
    <w:p w14:paraId="6F195CD8" w14:textId="77777777" w:rsidR="00A92CF7" w:rsidRPr="00A92CF7" w:rsidRDefault="00A92CF7" w:rsidP="00A92CF7">
      <w:pPr>
        <w:rPr>
          <w:b/>
          <w:bCs/>
        </w:rPr>
      </w:pPr>
      <w:r w:rsidRPr="00A92CF7">
        <w:rPr>
          <w:b/>
          <w:bCs/>
        </w:rPr>
        <w:t xml:space="preserve">Going </w:t>
      </w:r>
      <w:proofErr w:type="spellStart"/>
      <w:r w:rsidRPr="00A92CF7">
        <w:rPr>
          <w:b/>
          <w:bCs/>
        </w:rPr>
        <w:t>Going</w:t>
      </w:r>
      <w:proofErr w:type="spellEnd"/>
      <w:r w:rsidRPr="00A92CF7">
        <w:rPr>
          <w:b/>
          <w:bCs/>
        </w:rPr>
        <w:t xml:space="preserve"> Gone Gun Auctions</w:t>
      </w:r>
    </w:p>
    <w:p w14:paraId="3B0BAF9F" w14:textId="7E50CB64" w:rsidR="00A92CF7" w:rsidRPr="00A92CF7" w:rsidRDefault="00A92CF7" w:rsidP="00A92CF7">
      <w:r w:rsidRPr="00A92CF7">
        <w:rPr>
          <w:b/>
          <w:bCs/>
        </w:rPr>
        <w:t>Effective Date:</w:t>
      </w:r>
      <w:r w:rsidRPr="00A92CF7">
        <w:t xml:space="preserve"> </w:t>
      </w:r>
      <w:r>
        <w:t>October 1, 2025</w:t>
      </w:r>
    </w:p>
    <w:p w14:paraId="4A5D48FE" w14:textId="77777777" w:rsidR="00A92CF7" w:rsidRPr="00A92CF7" w:rsidRDefault="00A92CF7" w:rsidP="00A92CF7">
      <w:r w:rsidRPr="00A92CF7">
        <w:t xml:space="preserve">This Privacy Policy describes </w:t>
      </w:r>
      <w:proofErr w:type="gramStart"/>
      <w:r w:rsidRPr="00A92CF7">
        <w:t>how</w:t>
      </w:r>
      <w:proofErr w:type="gramEnd"/>
      <w:r w:rsidRPr="00A92CF7">
        <w:t xml:space="preserve"> </w:t>
      </w:r>
      <w:r w:rsidRPr="00A92CF7">
        <w:rPr>
          <w:b/>
          <w:bCs/>
        </w:rPr>
        <w:t xml:space="preserve">Going </w:t>
      </w:r>
      <w:proofErr w:type="spellStart"/>
      <w:r w:rsidRPr="00A92CF7">
        <w:rPr>
          <w:b/>
          <w:bCs/>
        </w:rPr>
        <w:t>Going</w:t>
      </w:r>
      <w:proofErr w:type="spellEnd"/>
      <w:r w:rsidRPr="00A92CF7">
        <w:rPr>
          <w:b/>
          <w:bCs/>
        </w:rPr>
        <w:t xml:space="preserve"> Gone Gun Auctions</w:t>
      </w:r>
      <w:r w:rsidRPr="00A92CF7">
        <w:t xml:space="preserve"> ("Company," "we," "us," or "our") collects, uses, protects, and discloses your Personal Information when you use our website, online auction services, and any related applications (collectively, the "Services").</w:t>
      </w:r>
    </w:p>
    <w:p w14:paraId="77C61721" w14:textId="77777777" w:rsidR="00A92CF7" w:rsidRPr="00A92CF7" w:rsidRDefault="00A92CF7" w:rsidP="00A92CF7">
      <w:r w:rsidRPr="00A92CF7">
        <w:t>By using our Services, you agree to the collection and use of information in accordance with this policy.</w:t>
      </w:r>
    </w:p>
    <w:p w14:paraId="05724B8C" w14:textId="77777777" w:rsidR="00A92CF7" w:rsidRPr="00A92CF7" w:rsidRDefault="00A92CF7" w:rsidP="00A92CF7">
      <w:r w:rsidRPr="00A92CF7">
        <w:pict w14:anchorId="6F6E038B">
          <v:rect id="_x0000_i1031" style="width:0;height:1.5pt" o:hralign="center" o:hrstd="t" o:hr="t" fillcolor="#a0a0a0" stroked="f"/>
        </w:pict>
      </w:r>
    </w:p>
    <w:p w14:paraId="0CC8E565" w14:textId="77777777" w:rsidR="00A92CF7" w:rsidRPr="00A92CF7" w:rsidRDefault="00A92CF7" w:rsidP="00A92CF7">
      <w:pPr>
        <w:rPr>
          <w:b/>
          <w:bCs/>
        </w:rPr>
      </w:pPr>
      <w:r w:rsidRPr="00A92CF7">
        <w:rPr>
          <w:b/>
          <w:bCs/>
        </w:rPr>
        <w:t>1. Information We Collect</w:t>
      </w:r>
    </w:p>
    <w:p w14:paraId="12151BA0" w14:textId="77777777" w:rsidR="00A92CF7" w:rsidRPr="00A92CF7" w:rsidRDefault="00A92CF7" w:rsidP="00A92CF7">
      <w:r w:rsidRPr="00A92CF7">
        <w:t>We collect information that identifies, relates to, describes, references, is capable of being associated with, or could reasonably be linked, directly or indirectly, with a particular consumer or device ("Personal Information").</w:t>
      </w:r>
    </w:p>
    <w:p w14:paraId="4ED18AFD" w14:textId="77777777" w:rsidR="00A92CF7" w:rsidRPr="00A92CF7" w:rsidRDefault="00A92CF7" w:rsidP="00A92CF7">
      <w:r w:rsidRPr="00A92CF7">
        <w:t>We collect the following categories of Personal Information: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1"/>
        <w:gridCol w:w="4220"/>
        <w:gridCol w:w="3189"/>
      </w:tblGrid>
      <w:tr w:rsidR="00A92CF7" w:rsidRPr="00A92CF7" w14:paraId="0B5E8546" w14:textId="77777777">
        <w:trPr>
          <w:tblHeader/>
          <w:tblCellSpacing w:w="15" w:type="dxa"/>
        </w:trPr>
        <w:tc>
          <w:tcPr>
            <w:tcW w:w="0" w:type="auto"/>
            <w:vAlign w:val="center"/>
            <w:hideMark/>
          </w:tcPr>
          <w:p w14:paraId="57CDD8C9" w14:textId="77777777" w:rsidR="00A92CF7" w:rsidRPr="00A92CF7" w:rsidRDefault="00A92CF7" w:rsidP="00A92CF7">
            <w:r w:rsidRPr="00A92CF7">
              <w:t>Category</w:t>
            </w:r>
          </w:p>
        </w:tc>
        <w:tc>
          <w:tcPr>
            <w:tcW w:w="0" w:type="auto"/>
            <w:vAlign w:val="center"/>
            <w:hideMark/>
          </w:tcPr>
          <w:p w14:paraId="0F027ECC" w14:textId="77777777" w:rsidR="00A92CF7" w:rsidRPr="00A92CF7" w:rsidRDefault="00A92CF7" w:rsidP="00A92CF7">
            <w:r w:rsidRPr="00A92CF7">
              <w:t>Types of Data Collected</w:t>
            </w:r>
          </w:p>
        </w:tc>
        <w:tc>
          <w:tcPr>
            <w:tcW w:w="0" w:type="auto"/>
            <w:vAlign w:val="center"/>
            <w:hideMark/>
          </w:tcPr>
          <w:p w14:paraId="6DC72189" w14:textId="77777777" w:rsidR="00A92CF7" w:rsidRPr="00A92CF7" w:rsidRDefault="00A92CF7" w:rsidP="00A92CF7">
            <w:r w:rsidRPr="00A92CF7">
              <w:t>Purpose of Collection</w:t>
            </w:r>
          </w:p>
        </w:tc>
      </w:tr>
      <w:tr w:rsidR="00A92CF7" w:rsidRPr="00A92CF7" w14:paraId="016EBAAA" w14:textId="77777777">
        <w:trPr>
          <w:tblCellSpacing w:w="15" w:type="dxa"/>
        </w:trPr>
        <w:tc>
          <w:tcPr>
            <w:tcW w:w="0" w:type="auto"/>
            <w:vAlign w:val="center"/>
            <w:hideMark/>
          </w:tcPr>
          <w:p w14:paraId="442B95B0" w14:textId="77777777" w:rsidR="00A92CF7" w:rsidRPr="00A92CF7" w:rsidRDefault="00A92CF7" w:rsidP="00A92CF7">
            <w:r w:rsidRPr="00A92CF7">
              <w:rPr>
                <w:b/>
                <w:bCs/>
              </w:rPr>
              <w:t>A. Identity &amp; Contact Data</w:t>
            </w:r>
          </w:p>
        </w:tc>
        <w:tc>
          <w:tcPr>
            <w:tcW w:w="0" w:type="auto"/>
            <w:vAlign w:val="center"/>
            <w:hideMark/>
          </w:tcPr>
          <w:p w14:paraId="571A50CF" w14:textId="77777777" w:rsidR="00A92CF7" w:rsidRPr="00A92CF7" w:rsidRDefault="00A92CF7" w:rsidP="00A92CF7">
            <w:r w:rsidRPr="00A92CF7">
              <w:t>Name, postal address, email address, telephone number, user account names, date of birth.</w:t>
            </w:r>
          </w:p>
        </w:tc>
        <w:tc>
          <w:tcPr>
            <w:tcW w:w="0" w:type="auto"/>
            <w:vAlign w:val="center"/>
            <w:hideMark/>
          </w:tcPr>
          <w:p w14:paraId="279B072B" w14:textId="77777777" w:rsidR="00A92CF7" w:rsidRPr="00A92CF7" w:rsidRDefault="00A92CF7" w:rsidP="00A92CF7">
            <w:r w:rsidRPr="00A92CF7">
              <w:t>Account registration, communications, verifying age/identity, customer service.</w:t>
            </w:r>
          </w:p>
        </w:tc>
      </w:tr>
      <w:tr w:rsidR="00A92CF7" w:rsidRPr="00A92CF7" w14:paraId="647BFD52" w14:textId="77777777">
        <w:trPr>
          <w:tblCellSpacing w:w="15" w:type="dxa"/>
        </w:trPr>
        <w:tc>
          <w:tcPr>
            <w:tcW w:w="0" w:type="auto"/>
            <w:vAlign w:val="center"/>
            <w:hideMark/>
          </w:tcPr>
          <w:p w14:paraId="0FFBCE86" w14:textId="77777777" w:rsidR="00A92CF7" w:rsidRPr="00A92CF7" w:rsidRDefault="00A92CF7" w:rsidP="00A92CF7">
            <w:r w:rsidRPr="00A92CF7">
              <w:rPr>
                <w:b/>
                <w:bCs/>
              </w:rPr>
              <w:t>B. Financial Data</w:t>
            </w:r>
          </w:p>
        </w:tc>
        <w:tc>
          <w:tcPr>
            <w:tcW w:w="0" w:type="auto"/>
            <w:vAlign w:val="center"/>
            <w:hideMark/>
          </w:tcPr>
          <w:p w14:paraId="4A2E9816" w14:textId="77777777" w:rsidR="00A92CF7" w:rsidRPr="00A92CF7" w:rsidRDefault="00A92CF7" w:rsidP="00A92CF7">
            <w:r w:rsidRPr="00A92CF7">
              <w:t>Credit card number, expiration date, billing address, bank account information (for sellers).</w:t>
            </w:r>
          </w:p>
        </w:tc>
        <w:tc>
          <w:tcPr>
            <w:tcW w:w="0" w:type="auto"/>
            <w:vAlign w:val="center"/>
            <w:hideMark/>
          </w:tcPr>
          <w:p w14:paraId="788D6C2D" w14:textId="77777777" w:rsidR="00A92CF7" w:rsidRPr="00A92CF7" w:rsidRDefault="00A92CF7" w:rsidP="00A92CF7">
            <w:r w:rsidRPr="00A92CF7">
              <w:t>Processing bids and payments, fulfilling transactions, refunds, and collections.</w:t>
            </w:r>
          </w:p>
        </w:tc>
      </w:tr>
      <w:tr w:rsidR="00A92CF7" w:rsidRPr="00A92CF7" w14:paraId="50B9B777" w14:textId="77777777">
        <w:trPr>
          <w:tblCellSpacing w:w="15" w:type="dxa"/>
        </w:trPr>
        <w:tc>
          <w:tcPr>
            <w:tcW w:w="0" w:type="auto"/>
            <w:vAlign w:val="center"/>
            <w:hideMark/>
          </w:tcPr>
          <w:p w14:paraId="03B2201D" w14:textId="77777777" w:rsidR="00A92CF7" w:rsidRPr="00A92CF7" w:rsidRDefault="00A92CF7" w:rsidP="00A92CF7">
            <w:r w:rsidRPr="00A92CF7">
              <w:rPr>
                <w:b/>
                <w:bCs/>
              </w:rPr>
              <w:t>C. Transaction Data</w:t>
            </w:r>
          </w:p>
        </w:tc>
        <w:tc>
          <w:tcPr>
            <w:tcW w:w="0" w:type="auto"/>
            <w:vAlign w:val="center"/>
            <w:hideMark/>
          </w:tcPr>
          <w:p w14:paraId="6386AC89" w14:textId="77777777" w:rsidR="00A92CF7" w:rsidRPr="00A92CF7" w:rsidRDefault="00A92CF7" w:rsidP="00A92CF7">
            <w:r w:rsidRPr="00A92CF7">
              <w:t>Auction and bidding history, items listed/purchased, date and time of transactions, shipping details, FFL transfer information.</w:t>
            </w:r>
          </w:p>
        </w:tc>
        <w:tc>
          <w:tcPr>
            <w:tcW w:w="0" w:type="auto"/>
            <w:vAlign w:val="center"/>
            <w:hideMark/>
          </w:tcPr>
          <w:p w14:paraId="4095DFDB" w14:textId="77777777" w:rsidR="00A92CF7" w:rsidRPr="00A92CF7" w:rsidRDefault="00A92CF7" w:rsidP="00A92CF7">
            <w:r w:rsidRPr="00A92CF7">
              <w:t>Facilitating auction sales, shipping logistics, and mandatory legal record-keeping.</w:t>
            </w:r>
          </w:p>
        </w:tc>
      </w:tr>
      <w:tr w:rsidR="00A92CF7" w:rsidRPr="00A92CF7" w14:paraId="6EE2455C" w14:textId="77777777">
        <w:trPr>
          <w:tblCellSpacing w:w="15" w:type="dxa"/>
        </w:trPr>
        <w:tc>
          <w:tcPr>
            <w:tcW w:w="0" w:type="auto"/>
            <w:vAlign w:val="center"/>
            <w:hideMark/>
          </w:tcPr>
          <w:p w14:paraId="7FC02113" w14:textId="77777777" w:rsidR="00A92CF7" w:rsidRPr="00A92CF7" w:rsidRDefault="00A92CF7" w:rsidP="00A92CF7">
            <w:r w:rsidRPr="00A92CF7">
              <w:rPr>
                <w:b/>
                <w:bCs/>
              </w:rPr>
              <w:t>D. Compliance &amp; Licensing Data</w:t>
            </w:r>
          </w:p>
        </w:tc>
        <w:tc>
          <w:tcPr>
            <w:tcW w:w="0" w:type="auto"/>
            <w:vAlign w:val="center"/>
            <w:hideMark/>
          </w:tcPr>
          <w:p w14:paraId="08C1D5BC" w14:textId="77777777" w:rsidR="00A92CF7" w:rsidRPr="00A92CF7" w:rsidRDefault="00A92CF7" w:rsidP="00A92CF7">
            <w:r w:rsidRPr="00A92CF7">
              <w:t>State/federal ID, relevant gun license/permit numbers (e.g., FFL, C&amp;R), and background check verification status.</w:t>
            </w:r>
          </w:p>
        </w:tc>
        <w:tc>
          <w:tcPr>
            <w:tcW w:w="0" w:type="auto"/>
            <w:vAlign w:val="center"/>
            <w:hideMark/>
          </w:tcPr>
          <w:p w14:paraId="0F313C48" w14:textId="77777777" w:rsidR="00A92CF7" w:rsidRPr="00A92CF7" w:rsidRDefault="00A92CF7" w:rsidP="00A92CF7">
            <w:r w:rsidRPr="00A92CF7">
              <w:rPr>
                <w:b/>
                <w:bCs/>
              </w:rPr>
              <w:t>Required</w:t>
            </w:r>
            <w:r w:rsidRPr="00A92CF7">
              <w:t xml:space="preserve"> for compliance with all applicable firearms regulations (ATF, state/local law).</w:t>
            </w:r>
          </w:p>
        </w:tc>
      </w:tr>
      <w:tr w:rsidR="00A92CF7" w:rsidRPr="00A92CF7" w14:paraId="5C6BEFAF" w14:textId="77777777">
        <w:trPr>
          <w:tblCellSpacing w:w="15" w:type="dxa"/>
        </w:trPr>
        <w:tc>
          <w:tcPr>
            <w:tcW w:w="0" w:type="auto"/>
            <w:vAlign w:val="center"/>
            <w:hideMark/>
          </w:tcPr>
          <w:p w14:paraId="798BC4E4" w14:textId="77777777" w:rsidR="00A92CF7" w:rsidRPr="00A92CF7" w:rsidRDefault="00A92CF7" w:rsidP="00A92CF7">
            <w:r w:rsidRPr="00A92CF7">
              <w:rPr>
                <w:b/>
                <w:bCs/>
              </w:rPr>
              <w:t>E. Technical &amp; Usage Data</w:t>
            </w:r>
          </w:p>
        </w:tc>
        <w:tc>
          <w:tcPr>
            <w:tcW w:w="0" w:type="auto"/>
            <w:vAlign w:val="center"/>
            <w:hideMark/>
          </w:tcPr>
          <w:p w14:paraId="020D6361" w14:textId="77777777" w:rsidR="00A92CF7" w:rsidRPr="00A92CF7" w:rsidRDefault="00A92CF7" w:rsidP="00A92CF7">
            <w:r w:rsidRPr="00A92CF7">
              <w:t>Internet Protocol (IP) address, browser type, operating system, pages viewed, time spent on pages, referral source, device identifiers.</w:t>
            </w:r>
          </w:p>
        </w:tc>
        <w:tc>
          <w:tcPr>
            <w:tcW w:w="0" w:type="auto"/>
            <w:vAlign w:val="center"/>
            <w:hideMark/>
          </w:tcPr>
          <w:p w14:paraId="56AA4027" w14:textId="77777777" w:rsidR="00A92CF7" w:rsidRPr="00A92CF7" w:rsidRDefault="00A92CF7" w:rsidP="00A92CF7">
            <w:r w:rsidRPr="00A92CF7">
              <w:t>Site security, analyzing site usage, diagnostics, fraud prevention, and site improvement.</w:t>
            </w:r>
          </w:p>
        </w:tc>
      </w:tr>
      <w:tr w:rsidR="00A92CF7" w:rsidRPr="00A92CF7" w14:paraId="1B1DCA25" w14:textId="77777777">
        <w:trPr>
          <w:tblCellSpacing w:w="15" w:type="dxa"/>
        </w:trPr>
        <w:tc>
          <w:tcPr>
            <w:tcW w:w="0" w:type="auto"/>
            <w:vAlign w:val="center"/>
            <w:hideMark/>
          </w:tcPr>
          <w:p w14:paraId="33D70369" w14:textId="77777777" w:rsidR="00A92CF7" w:rsidRPr="00A92CF7" w:rsidRDefault="00A92CF7" w:rsidP="00A92CF7">
            <w:r w:rsidRPr="00A92CF7">
              <w:rPr>
                <w:b/>
                <w:bCs/>
              </w:rPr>
              <w:t>F. Communications Data</w:t>
            </w:r>
          </w:p>
        </w:tc>
        <w:tc>
          <w:tcPr>
            <w:tcW w:w="0" w:type="auto"/>
            <w:vAlign w:val="center"/>
            <w:hideMark/>
          </w:tcPr>
          <w:p w14:paraId="5AAAB021" w14:textId="77777777" w:rsidR="00A92CF7" w:rsidRPr="00A92CF7" w:rsidRDefault="00A92CF7" w:rsidP="00A92CF7">
            <w:r w:rsidRPr="00A92CF7">
              <w:t>Contents of messages and attachments sent to us (e.g., customer support emails, chat records).</w:t>
            </w:r>
          </w:p>
        </w:tc>
        <w:tc>
          <w:tcPr>
            <w:tcW w:w="0" w:type="auto"/>
            <w:vAlign w:val="center"/>
            <w:hideMark/>
          </w:tcPr>
          <w:p w14:paraId="6133CBC9" w14:textId="77777777" w:rsidR="00A92CF7" w:rsidRPr="00A92CF7" w:rsidRDefault="00A92CF7" w:rsidP="00A92CF7">
            <w:r w:rsidRPr="00A92CF7">
              <w:t>Customer support, internal training, and dispute resolution.</w:t>
            </w:r>
          </w:p>
        </w:tc>
      </w:tr>
    </w:tbl>
    <w:p w14:paraId="65A00F87" w14:textId="77777777" w:rsidR="00A92CF7" w:rsidRDefault="00A92CF7" w:rsidP="00A92CF7">
      <w:pPr>
        <w:rPr>
          <w:b/>
          <w:bCs/>
        </w:rPr>
      </w:pPr>
    </w:p>
    <w:p w14:paraId="252841EF" w14:textId="7C97C651" w:rsidR="00A92CF7" w:rsidRPr="00A92CF7" w:rsidRDefault="00A92CF7" w:rsidP="00A92CF7">
      <w:pPr>
        <w:rPr>
          <w:b/>
          <w:bCs/>
        </w:rPr>
      </w:pPr>
      <w:r w:rsidRPr="00A92CF7">
        <w:rPr>
          <w:b/>
          <w:bCs/>
        </w:rPr>
        <w:lastRenderedPageBreak/>
        <w:t>2. How We Use Your Information</w:t>
      </w:r>
    </w:p>
    <w:p w14:paraId="14762460" w14:textId="77777777" w:rsidR="00A92CF7" w:rsidRPr="00A92CF7" w:rsidRDefault="00A92CF7" w:rsidP="00A92CF7">
      <w:r w:rsidRPr="00A92CF7">
        <w:t>We use the Personal Information we collect for the following legitimate business purposes: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15"/>
        <w:gridCol w:w="7345"/>
      </w:tblGrid>
      <w:tr w:rsidR="00A92CF7" w:rsidRPr="00A92CF7" w14:paraId="1C2FE26C" w14:textId="77777777">
        <w:trPr>
          <w:tblHeader/>
          <w:tblCellSpacing w:w="15" w:type="dxa"/>
        </w:trPr>
        <w:tc>
          <w:tcPr>
            <w:tcW w:w="0" w:type="auto"/>
            <w:vAlign w:val="center"/>
            <w:hideMark/>
          </w:tcPr>
          <w:p w14:paraId="135E3358" w14:textId="77777777" w:rsidR="00A92CF7" w:rsidRPr="00A92CF7" w:rsidRDefault="00A92CF7" w:rsidP="00A92CF7">
            <w:r w:rsidRPr="00A92CF7">
              <w:t>Purpose Category</w:t>
            </w:r>
          </w:p>
        </w:tc>
        <w:tc>
          <w:tcPr>
            <w:tcW w:w="0" w:type="auto"/>
            <w:vAlign w:val="center"/>
            <w:hideMark/>
          </w:tcPr>
          <w:p w14:paraId="1FE480DA" w14:textId="77777777" w:rsidR="00A92CF7" w:rsidRPr="00A92CF7" w:rsidRDefault="00A92CF7" w:rsidP="00A92CF7">
            <w:r w:rsidRPr="00A92CF7">
              <w:t>Examples of Use</w:t>
            </w:r>
          </w:p>
        </w:tc>
      </w:tr>
      <w:tr w:rsidR="00A92CF7" w:rsidRPr="00A92CF7" w14:paraId="05BE9F2D" w14:textId="77777777">
        <w:trPr>
          <w:tblCellSpacing w:w="15" w:type="dxa"/>
        </w:trPr>
        <w:tc>
          <w:tcPr>
            <w:tcW w:w="0" w:type="auto"/>
            <w:vAlign w:val="center"/>
            <w:hideMark/>
          </w:tcPr>
          <w:p w14:paraId="740DF7B0" w14:textId="77777777" w:rsidR="00A92CF7" w:rsidRPr="00A92CF7" w:rsidRDefault="00A92CF7" w:rsidP="00A92CF7">
            <w:r w:rsidRPr="00A92CF7">
              <w:rPr>
                <w:b/>
                <w:bCs/>
              </w:rPr>
              <w:t>To Provide Services</w:t>
            </w:r>
          </w:p>
        </w:tc>
        <w:tc>
          <w:tcPr>
            <w:tcW w:w="0" w:type="auto"/>
            <w:vAlign w:val="center"/>
            <w:hideMark/>
          </w:tcPr>
          <w:p w14:paraId="56E40C74" w14:textId="77777777" w:rsidR="00A92CF7" w:rsidRPr="00A92CF7" w:rsidRDefault="00A92CF7" w:rsidP="00A92CF7">
            <w:r w:rsidRPr="00A92CF7">
              <w:t>To allow you to register, list items, place bids, complete purchases, and facilitate the physical or licensed transfer of purchased items.</w:t>
            </w:r>
          </w:p>
        </w:tc>
      </w:tr>
      <w:tr w:rsidR="00A92CF7" w:rsidRPr="00A92CF7" w14:paraId="1E215F0C" w14:textId="77777777">
        <w:trPr>
          <w:tblCellSpacing w:w="15" w:type="dxa"/>
        </w:trPr>
        <w:tc>
          <w:tcPr>
            <w:tcW w:w="0" w:type="auto"/>
            <w:vAlign w:val="center"/>
            <w:hideMark/>
          </w:tcPr>
          <w:p w14:paraId="7CED3D70" w14:textId="77777777" w:rsidR="00A92CF7" w:rsidRPr="00A92CF7" w:rsidRDefault="00A92CF7" w:rsidP="00A92CF7">
            <w:r w:rsidRPr="00A92CF7">
              <w:rPr>
                <w:b/>
                <w:bCs/>
              </w:rPr>
              <w:t>Compliance &amp; Legal Obligation</w:t>
            </w:r>
          </w:p>
        </w:tc>
        <w:tc>
          <w:tcPr>
            <w:tcW w:w="0" w:type="auto"/>
            <w:vAlign w:val="center"/>
            <w:hideMark/>
          </w:tcPr>
          <w:p w14:paraId="345AE574" w14:textId="77777777" w:rsidR="00A92CF7" w:rsidRPr="00A92CF7" w:rsidRDefault="00A92CF7" w:rsidP="00A92CF7">
            <w:r w:rsidRPr="00A92CF7">
              <w:t xml:space="preserve">To verify your eligibility to bid on and purchase firearms, and to maintain records as </w:t>
            </w:r>
            <w:r w:rsidRPr="00A92CF7">
              <w:rPr>
                <w:b/>
                <w:bCs/>
              </w:rPr>
              <w:t>required by the Bureau of Alcohol, Tobacco, Firearms and Explosives (ATF)</w:t>
            </w:r>
            <w:r w:rsidRPr="00A92CF7">
              <w:t xml:space="preserve"> and other federal, state, and local laws.</w:t>
            </w:r>
          </w:p>
        </w:tc>
      </w:tr>
      <w:tr w:rsidR="00A92CF7" w:rsidRPr="00A92CF7" w14:paraId="3B672ECA" w14:textId="77777777">
        <w:trPr>
          <w:tblCellSpacing w:w="15" w:type="dxa"/>
        </w:trPr>
        <w:tc>
          <w:tcPr>
            <w:tcW w:w="0" w:type="auto"/>
            <w:vAlign w:val="center"/>
            <w:hideMark/>
          </w:tcPr>
          <w:p w14:paraId="014802EA" w14:textId="77777777" w:rsidR="00A92CF7" w:rsidRPr="00A92CF7" w:rsidRDefault="00A92CF7" w:rsidP="00A92CF7">
            <w:r w:rsidRPr="00A92CF7">
              <w:rPr>
                <w:b/>
                <w:bCs/>
              </w:rPr>
              <w:t>Transaction Fulfillment</w:t>
            </w:r>
          </w:p>
        </w:tc>
        <w:tc>
          <w:tcPr>
            <w:tcW w:w="0" w:type="auto"/>
            <w:vAlign w:val="center"/>
            <w:hideMark/>
          </w:tcPr>
          <w:p w14:paraId="42A47D49" w14:textId="77777777" w:rsidR="00A92CF7" w:rsidRPr="00A92CF7" w:rsidRDefault="00A92CF7" w:rsidP="00A92CF7">
            <w:r w:rsidRPr="00A92CF7">
              <w:t>To process payments, arrange shipping, communicate with third-party logistics or licensed dealers (FFLs), and provide invoices.</w:t>
            </w:r>
          </w:p>
        </w:tc>
      </w:tr>
      <w:tr w:rsidR="00A92CF7" w:rsidRPr="00A92CF7" w14:paraId="630B494D" w14:textId="77777777">
        <w:trPr>
          <w:tblCellSpacing w:w="15" w:type="dxa"/>
        </w:trPr>
        <w:tc>
          <w:tcPr>
            <w:tcW w:w="0" w:type="auto"/>
            <w:vAlign w:val="center"/>
            <w:hideMark/>
          </w:tcPr>
          <w:p w14:paraId="007AD573" w14:textId="77777777" w:rsidR="00A92CF7" w:rsidRPr="00A92CF7" w:rsidRDefault="00A92CF7" w:rsidP="00A92CF7">
            <w:r w:rsidRPr="00A92CF7">
              <w:rPr>
                <w:b/>
                <w:bCs/>
              </w:rPr>
              <w:t>Communication</w:t>
            </w:r>
          </w:p>
        </w:tc>
        <w:tc>
          <w:tcPr>
            <w:tcW w:w="0" w:type="auto"/>
            <w:vAlign w:val="center"/>
            <w:hideMark/>
          </w:tcPr>
          <w:p w14:paraId="035B5CFF" w14:textId="77777777" w:rsidR="00A92CF7" w:rsidRPr="00A92CF7" w:rsidRDefault="00A92CF7" w:rsidP="00A92CF7">
            <w:r w:rsidRPr="00A92CF7">
              <w:t>To send you transaction updates, security alerts, policy changes, and customer service responses. (You may opt out of non-transactional marketing emails).</w:t>
            </w:r>
          </w:p>
        </w:tc>
      </w:tr>
      <w:tr w:rsidR="00A92CF7" w:rsidRPr="00A92CF7" w14:paraId="5AEEFD0D" w14:textId="77777777">
        <w:trPr>
          <w:tblCellSpacing w:w="15" w:type="dxa"/>
        </w:trPr>
        <w:tc>
          <w:tcPr>
            <w:tcW w:w="0" w:type="auto"/>
            <w:vAlign w:val="center"/>
            <w:hideMark/>
          </w:tcPr>
          <w:p w14:paraId="4307E9D2" w14:textId="77777777" w:rsidR="00A92CF7" w:rsidRPr="00A92CF7" w:rsidRDefault="00A92CF7" w:rsidP="00A92CF7">
            <w:r w:rsidRPr="00A92CF7">
              <w:rPr>
                <w:b/>
                <w:bCs/>
              </w:rPr>
              <w:t>Security &amp; Fraud Prevention</w:t>
            </w:r>
          </w:p>
        </w:tc>
        <w:tc>
          <w:tcPr>
            <w:tcW w:w="0" w:type="auto"/>
            <w:vAlign w:val="center"/>
            <w:hideMark/>
          </w:tcPr>
          <w:p w14:paraId="21A1E586" w14:textId="77777777" w:rsidR="00A92CF7" w:rsidRPr="00A92CF7" w:rsidRDefault="00A92CF7" w:rsidP="00A92CF7">
            <w:r w:rsidRPr="00A92CF7">
              <w:t>To protect our Services, accounts, and users from fraud, unauthorized access, identity theft, and other illegal activities.</w:t>
            </w:r>
          </w:p>
        </w:tc>
      </w:tr>
      <w:tr w:rsidR="00A92CF7" w:rsidRPr="00A92CF7" w14:paraId="36F7A3ED" w14:textId="77777777">
        <w:trPr>
          <w:tblCellSpacing w:w="15" w:type="dxa"/>
        </w:trPr>
        <w:tc>
          <w:tcPr>
            <w:tcW w:w="0" w:type="auto"/>
            <w:vAlign w:val="center"/>
            <w:hideMark/>
          </w:tcPr>
          <w:p w14:paraId="1D6EBE7B" w14:textId="77777777" w:rsidR="00A92CF7" w:rsidRPr="00A92CF7" w:rsidRDefault="00A92CF7" w:rsidP="00A92CF7">
            <w:r w:rsidRPr="00A92CF7">
              <w:rPr>
                <w:b/>
                <w:bCs/>
              </w:rPr>
              <w:t>Improvement &amp; Analysis</w:t>
            </w:r>
          </w:p>
        </w:tc>
        <w:tc>
          <w:tcPr>
            <w:tcW w:w="0" w:type="auto"/>
            <w:vAlign w:val="center"/>
            <w:hideMark/>
          </w:tcPr>
          <w:p w14:paraId="3C8E3798" w14:textId="77777777" w:rsidR="00A92CF7" w:rsidRPr="00A92CF7" w:rsidRDefault="00A92CF7" w:rsidP="00A92CF7">
            <w:r w:rsidRPr="00A92CF7">
              <w:t>To monitor and analyze usage to improve our website design, auction features, and user experience.</w:t>
            </w:r>
          </w:p>
        </w:tc>
      </w:tr>
    </w:tbl>
    <w:p w14:paraId="55588F8A" w14:textId="77777777" w:rsidR="00A92CF7" w:rsidRPr="00A92CF7" w:rsidRDefault="00A92CF7" w:rsidP="00A92CF7">
      <w:r w:rsidRPr="00A92CF7">
        <w:t>Export to Sheets</w:t>
      </w:r>
    </w:p>
    <w:p w14:paraId="4187962C" w14:textId="77777777" w:rsidR="00A92CF7" w:rsidRPr="00A92CF7" w:rsidRDefault="00A92CF7" w:rsidP="00A92CF7">
      <w:pPr>
        <w:rPr>
          <w:b/>
          <w:bCs/>
        </w:rPr>
      </w:pPr>
      <w:r w:rsidRPr="00A92CF7">
        <w:rPr>
          <w:b/>
          <w:bCs/>
        </w:rPr>
        <w:t>3. Disclosure of Your Information</w:t>
      </w:r>
    </w:p>
    <w:p w14:paraId="0998E530" w14:textId="77777777" w:rsidR="00A92CF7" w:rsidRPr="00A92CF7" w:rsidRDefault="00A92CF7" w:rsidP="00A92CF7">
      <w:r w:rsidRPr="00A92CF7">
        <w:t>We do not sell your Personal Information to third parties for monetary consideration. However, we may disclose your Personal Information in the following circumstances:</w:t>
      </w:r>
    </w:p>
    <w:p w14:paraId="499D15B0" w14:textId="77777777" w:rsidR="00A92CF7" w:rsidRPr="00A92CF7" w:rsidRDefault="00A92CF7" w:rsidP="00A92CF7">
      <w:pPr>
        <w:numPr>
          <w:ilvl w:val="0"/>
          <w:numId w:val="1"/>
        </w:numPr>
      </w:pPr>
      <w:r w:rsidRPr="00A92CF7">
        <w:rPr>
          <w:b/>
          <w:bCs/>
        </w:rPr>
        <w:t>To Facilitate Auction Transactions:</w:t>
      </w:r>
    </w:p>
    <w:p w14:paraId="2A55E412" w14:textId="77777777" w:rsidR="00A92CF7" w:rsidRPr="00A92CF7" w:rsidRDefault="00A92CF7" w:rsidP="00A92CF7">
      <w:pPr>
        <w:numPr>
          <w:ilvl w:val="1"/>
          <w:numId w:val="1"/>
        </w:numPr>
      </w:pPr>
      <w:r w:rsidRPr="00A92CF7">
        <w:rPr>
          <w:b/>
          <w:bCs/>
        </w:rPr>
        <w:t>Buyers and Sellers:</w:t>
      </w:r>
      <w:r w:rsidRPr="00A92CF7">
        <w:t xml:space="preserve"> We may share necessary contact information (Name, address, phone, email) between the winning bidder and the seller to complete the transaction, arrange payment, and coordinate shipping.</w:t>
      </w:r>
    </w:p>
    <w:p w14:paraId="3C1B45EE" w14:textId="77777777" w:rsidR="00A92CF7" w:rsidRPr="00A92CF7" w:rsidRDefault="00A92CF7" w:rsidP="00A92CF7">
      <w:pPr>
        <w:numPr>
          <w:ilvl w:val="1"/>
          <w:numId w:val="1"/>
        </w:numPr>
      </w:pPr>
      <w:r w:rsidRPr="00A92CF7">
        <w:rPr>
          <w:b/>
          <w:bCs/>
        </w:rPr>
        <w:t>Licensed Dealers (FFLs):</w:t>
      </w:r>
      <w:r w:rsidRPr="00A92CF7">
        <w:t xml:space="preserve"> We must share the buyer’s required Personal Information with licensed Federal Firearm License (FFL) holders for mandatory compliance and legal transfer of firearms.</w:t>
      </w:r>
    </w:p>
    <w:p w14:paraId="7D56888F" w14:textId="77777777" w:rsidR="00A92CF7" w:rsidRPr="00A92CF7" w:rsidRDefault="00A92CF7" w:rsidP="00A92CF7">
      <w:pPr>
        <w:numPr>
          <w:ilvl w:val="0"/>
          <w:numId w:val="1"/>
        </w:numPr>
      </w:pPr>
      <w:r w:rsidRPr="00A92CF7">
        <w:rPr>
          <w:b/>
          <w:bCs/>
        </w:rPr>
        <w:t>Service Providers:</w:t>
      </w:r>
      <w:r w:rsidRPr="00A92CF7">
        <w:t xml:space="preserve"> We share data with third-party vendors, consultants, and other service providers who perform services for us or on our behalf, such as payment processors (e.g., credit card processing), shipping carriers, IT and infrastructure providers, and marketing service providers. These parties </w:t>
      </w:r>
      <w:proofErr w:type="gramStart"/>
      <w:r w:rsidRPr="00A92CF7">
        <w:t>are contractually</w:t>
      </w:r>
      <w:proofErr w:type="gramEnd"/>
      <w:r w:rsidRPr="00A92CF7">
        <w:t xml:space="preserve"> obligated to keep your data confidential and secure.</w:t>
      </w:r>
    </w:p>
    <w:p w14:paraId="7BC1D2A0" w14:textId="77777777" w:rsidR="00A92CF7" w:rsidRPr="00A92CF7" w:rsidRDefault="00A92CF7" w:rsidP="00A92CF7">
      <w:pPr>
        <w:numPr>
          <w:ilvl w:val="0"/>
          <w:numId w:val="1"/>
        </w:numPr>
      </w:pPr>
      <w:r w:rsidRPr="00A92CF7">
        <w:rPr>
          <w:b/>
          <w:bCs/>
        </w:rPr>
        <w:t>Legal Compliance:</w:t>
      </w:r>
      <w:r w:rsidRPr="00A92CF7">
        <w:t xml:space="preserve"> If required by law, subpoena, court order, or governmental regulation, or if we believe disclosure is necessary to protect our rights, your safety, or the safety of others, or to investigate fraud.</w:t>
      </w:r>
    </w:p>
    <w:p w14:paraId="55BA4DEB" w14:textId="77777777" w:rsidR="00A92CF7" w:rsidRPr="00A92CF7" w:rsidRDefault="00A92CF7" w:rsidP="00A92CF7">
      <w:pPr>
        <w:numPr>
          <w:ilvl w:val="0"/>
          <w:numId w:val="1"/>
        </w:numPr>
      </w:pPr>
      <w:r w:rsidRPr="00A92CF7">
        <w:rPr>
          <w:b/>
          <w:bCs/>
        </w:rPr>
        <w:lastRenderedPageBreak/>
        <w:t>Business Transfers:</w:t>
      </w:r>
      <w:r w:rsidRPr="00A92CF7">
        <w:t xml:space="preserve"> In connection with, or during negotiations of, any merger, sale of company assets, financing, or acquisition of all or a portion of our business by another company.</w:t>
      </w:r>
    </w:p>
    <w:p w14:paraId="674C0BB5" w14:textId="77777777" w:rsidR="00A92CF7" w:rsidRPr="00A92CF7" w:rsidRDefault="00A92CF7" w:rsidP="00A92CF7">
      <w:pPr>
        <w:rPr>
          <w:b/>
          <w:bCs/>
        </w:rPr>
      </w:pPr>
      <w:r w:rsidRPr="00A92CF7">
        <w:rPr>
          <w:b/>
          <w:bCs/>
        </w:rPr>
        <w:t>4. Security and Retention of Your Information</w:t>
      </w:r>
    </w:p>
    <w:p w14:paraId="6B6A08B3" w14:textId="77777777" w:rsidR="00A92CF7" w:rsidRPr="00A92CF7" w:rsidRDefault="00A92CF7" w:rsidP="00A92CF7">
      <w:pPr>
        <w:numPr>
          <w:ilvl w:val="0"/>
          <w:numId w:val="2"/>
        </w:numPr>
      </w:pPr>
      <w:r w:rsidRPr="00A92CF7">
        <w:rPr>
          <w:b/>
          <w:bCs/>
        </w:rPr>
        <w:t>Security:</w:t>
      </w:r>
      <w:r w:rsidRPr="00A92CF7">
        <w:t xml:space="preserve"> We implement a variety of security measures, including physical, electronic, and procedural safeguards, to maintain the safety of your Personal Information. However, no method of transmission over the Internet or method of electronic storage is 100% secure.</w:t>
      </w:r>
    </w:p>
    <w:p w14:paraId="5DDCB516" w14:textId="77777777" w:rsidR="00A92CF7" w:rsidRPr="00A92CF7" w:rsidRDefault="00A92CF7" w:rsidP="00A92CF7">
      <w:pPr>
        <w:numPr>
          <w:ilvl w:val="0"/>
          <w:numId w:val="2"/>
        </w:numPr>
      </w:pPr>
      <w:r w:rsidRPr="00A92CF7">
        <w:rPr>
          <w:b/>
          <w:bCs/>
        </w:rPr>
        <w:t>Retention:</w:t>
      </w:r>
      <w:r w:rsidRPr="00A92CF7">
        <w:t xml:space="preserve"> We will retain your Personal Information for as long as your account is active or as needed to provide you with Services. We are required to retain certain transaction and compliance-related data, </w:t>
      </w:r>
      <w:r w:rsidRPr="00A92CF7">
        <w:rPr>
          <w:b/>
          <w:bCs/>
        </w:rPr>
        <w:t>including firearm transfer records (FFL/ATF data)</w:t>
      </w:r>
      <w:r w:rsidRPr="00A92CF7">
        <w:t>, for legally mandated periods, even after your account is closed.</w:t>
      </w:r>
    </w:p>
    <w:p w14:paraId="771BE2C8" w14:textId="77777777" w:rsidR="00A92CF7" w:rsidRPr="00A92CF7" w:rsidRDefault="00A92CF7" w:rsidP="00A92CF7">
      <w:pPr>
        <w:rPr>
          <w:b/>
          <w:bCs/>
        </w:rPr>
      </w:pPr>
      <w:r w:rsidRPr="00A92CF7">
        <w:rPr>
          <w:b/>
          <w:bCs/>
        </w:rPr>
        <w:t>5. Cookies and Tracking Technologies</w:t>
      </w:r>
    </w:p>
    <w:p w14:paraId="03D8120A" w14:textId="77777777" w:rsidR="00A92CF7" w:rsidRPr="00A92CF7" w:rsidRDefault="00A92CF7" w:rsidP="00A92CF7">
      <w:r w:rsidRPr="00A92CF7">
        <w:t>We use cookies, web beacons, and similar tracking technologies to track the activity on our Service and hold certain information.</w:t>
      </w:r>
    </w:p>
    <w:p w14:paraId="1338B505" w14:textId="77777777" w:rsidR="00A92CF7" w:rsidRPr="00A92CF7" w:rsidRDefault="00A92CF7" w:rsidP="00A92CF7">
      <w:pPr>
        <w:numPr>
          <w:ilvl w:val="0"/>
          <w:numId w:val="3"/>
        </w:numPr>
      </w:pPr>
      <w:r w:rsidRPr="00A92CF7">
        <w:rPr>
          <w:b/>
          <w:bCs/>
        </w:rPr>
        <w:t>Cookies</w:t>
      </w:r>
      <w:r w:rsidRPr="00A92CF7">
        <w:t xml:space="preserve"> are small data files stored on your device that help us:</w:t>
      </w:r>
    </w:p>
    <w:p w14:paraId="01853AD1" w14:textId="77777777" w:rsidR="00A92CF7" w:rsidRPr="00A92CF7" w:rsidRDefault="00A92CF7" w:rsidP="00A92CF7">
      <w:pPr>
        <w:numPr>
          <w:ilvl w:val="1"/>
          <w:numId w:val="3"/>
        </w:numPr>
      </w:pPr>
      <w:r w:rsidRPr="00A92CF7">
        <w:t>Recognize you when you sign in.</w:t>
      </w:r>
    </w:p>
    <w:p w14:paraId="6F2E07AA" w14:textId="77777777" w:rsidR="00A92CF7" w:rsidRPr="00A92CF7" w:rsidRDefault="00A92CF7" w:rsidP="00A92CF7">
      <w:pPr>
        <w:numPr>
          <w:ilvl w:val="1"/>
          <w:numId w:val="3"/>
        </w:numPr>
      </w:pPr>
      <w:r w:rsidRPr="00A92CF7">
        <w:t>Remember your preferences.</w:t>
      </w:r>
    </w:p>
    <w:p w14:paraId="53E8F740" w14:textId="77777777" w:rsidR="00A92CF7" w:rsidRPr="00A92CF7" w:rsidRDefault="00A92CF7" w:rsidP="00A92CF7">
      <w:pPr>
        <w:numPr>
          <w:ilvl w:val="1"/>
          <w:numId w:val="3"/>
        </w:numPr>
      </w:pPr>
      <w:r w:rsidRPr="00A92CF7">
        <w:t>Analyze site traffic and trends.</w:t>
      </w:r>
    </w:p>
    <w:p w14:paraId="2B62263F" w14:textId="77777777" w:rsidR="00A92CF7" w:rsidRPr="00A92CF7" w:rsidRDefault="00A92CF7" w:rsidP="00A92CF7">
      <w:pPr>
        <w:numPr>
          <w:ilvl w:val="1"/>
          <w:numId w:val="3"/>
        </w:numPr>
      </w:pPr>
      <w:r w:rsidRPr="00A92CF7">
        <w:t>Serve relevant advertising.</w:t>
      </w:r>
    </w:p>
    <w:p w14:paraId="6F620A1D" w14:textId="77777777" w:rsidR="00A92CF7" w:rsidRPr="00A92CF7" w:rsidRDefault="00A92CF7" w:rsidP="00A92CF7">
      <w:pPr>
        <w:numPr>
          <w:ilvl w:val="0"/>
          <w:numId w:val="3"/>
        </w:numPr>
      </w:pPr>
      <w:r w:rsidRPr="00A92CF7">
        <w:t>You can set your browser to refuse all or some browser cookies, but this may affect the functionality of our Services.</w:t>
      </w:r>
    </w:p>
    <w:p w14:paraId="1F2AE277" w14:textId="77777777" w:rsidR="00A92CF7" w:rsidRPr="00A92CF7" w:rsidRDefault="00A92CF7" w:rsidP="00A92CF7">
      <w:pPr>
        <w:rPr>
          <w:b/>
          <w:bCs/>
        </w:rPr>
      </w:pPr>
      <w:r w:rsidRPr="00A92CF7">
        <w:rPr>
          <w:b/>
          <w:bCs/>
        </w:rPr>
        <w:t>6. Your Privacy Rights</w:t>
      </w:r>
    </w:p>
    <w:p w14:paraId="4B3EA04F" w14:textId="77777777" w:rsidR="00A92CF7" w:rsidRPr="00A92CF7" w:rsidRDefault="00A92CF7" w:rsidP="00A92CF7">
      <w:r w:rsidRPr="00A92CF7">
        <w:t>Depending on your jurisdiction, you may have the right to:</w:t>
      </w:r>
    </w:p>
    <w:p w14:paraId="3C98CF91" w14:textId="77777777" w:rsidR="00A92CF7" w:rsidRPr="00A92CF7" w:rsidRDefault="00A92CF7" w:rsidP="00A92CF7">
      <w:pPr>
        <w:numPr>
          <w:ilvl w:val="0"/>
          <w:numId w:val="4"/>
        </w:numPr>
      </w:pPr>
      <w:r w:rsidRPr="00A92CF7">
        <w:rPr>
          <w:b/>
          <w:bCs/>
        </w:rPr>
        <w:t>Access</w:t>
      </w:r>
      <w:r w:rsidRPr="00A92CF7">
        <w:t xml:space="preserve"> the Personal Information we hold about you.</w:t>
      </w:r>
    </w:p>
    <w:p w14:paraId="4D5FB17C" w14:textId="77777777" w:rsidR="00A92CF7" w:rsidRPr="00A92CF7" w:rsidRDefault="00A92CF7" w:rsidP="00A92CF7">
      <w:pPr>
        <w:numPr>
          <w:ilvl w:val="0"/>
          <w:numId w:val="4"/>
        </w:numPr>
      </w:pPr>
      <w:r w:rsidRPr="00A92CF7">
        <w:rPr>
          <w:b/>
          <w:bCs/>
        </w:rPr>
        <w:t>Request Correction</w:t>
      </w:r>
      <w:r w:rsidRPr="00A92CF7">
        <w:t xml:space="preserve"> of inaccurate or incomplete data.</w:t>
      </w:r>
    </w:p>
    <w:p w14:paraId="6B28CAA5" w14:textId="77777777" w:rsidR="00A92CF7" w:rsidRPr="00A92CF7" w:rsidRDefault="00A92CF7" w:rsidP="00A92CF7">
      <w:pPr>
        <w:numPr>
          <w:ilvl w:val="0"/>
          <w:numId w:val="4"/>
        </w:numPr>
      </w:pPr>
      <w:r w:rsidRPr="00A92CF7">
        <w:rPr>
          <w:b/>
          <w:bCs/>
        </w:rPr>
        <w:t>Request Deletion</w:t>
      </w:r>
      <w:r w:rsidRPr="00A92CF7">
        <w:t xml:space="preserve"> of your Personal Information (subject to legal obligations, such as ATF record-keeping).</w:t>
      </w:r>
    </w:p>
    <w:p w14:paraId="16F30BAA" w14:textId="77777777" w:rsidR="00A92CF7" w:rsidRPr="00A92CF7" w:rsidRDefault="00A92CF7" w:rsidP="00A92CF7">
      <w:pPr>
        <w:numPr>
          <w:ilvl w:val="0"/>
          <w:numId w:val="4"/>
        </w:numPr>
      </w:pPr>
      <w:r w:rsidRPr="00A92CF7">
        <w:rPr>
          <w:b/>
          <w:bCs/>
        </w:rPr>
        <w:t>Opt-out of Marketing Communications</w:t>
      </w:r>
      <w:r w:rsidRPr="00A92CF7">
        <w:t xml:space="preserve"> by following the </w:t>
      </w:r>
      <w:proofErr w:type="gramStart"/>
      <w:r w:rsidRPr="00A92CF7">
        <w:t>unsubscribe</w:t>
      </w:r>
      <w:proofErr w:type="gramEnd"/>
      <w:r w:rsidRPr="00A92CF7">
        <w:t xml:space="preserve"> link in our marketing emails.</w:t>
      </w:r>
    </w:p>
    <w:p w14:paraId="051325A5" w14:textId="77777777" w:rsidR="00A92CF7" w:rsidRPr="00A92CF7" w:rsidRDefault="00A92CF7" w:rsidP="00A92CF7">
      <w:r w:rsidRPr="00A92CF7">
        <w:t xml:space="preserve">To exercise any of these rights, please contact us using the information in Section 8 below. Please note that due to the heavily regulated nature of our business, certain data (like FFL and transaction records) </w:t>
      </w:r>
      <w:r w:rsidRPr="00A92CF7">
        <w:rPr>
          <w:b/>
          <w:bCs/>
        </w:rPr>
        <w:t>cannot be deleted</w:t>
      </w:r>
      <w:r w:rsidRPr="00A92CF7">
        <w:t xml:space="preserve"> as we have a legal obligation to retain it.</w:t>
      </w:r>
    </w:p>
    <w:p w14:paraId="09F48C38" w14:textId="77777777" w:rsidR="00A92CF7" w:rsidRDefault="00A92CF7" w:rsidP="00A92CF7">
      <w:pPr>
        <w:rPr>
          <w:b/>
          <w:bCs/>
        </w:rPr>
      </w:pPr>
    </w:p>
    <w:p w14:paraId="656F3C02" w14:textId="77777777" w:rsidR="00A92CF7" w:rsidRDefault="00A92CF7" w:rsidP="00A92CF7">
      <w:pPr>
        <w:rPr>
          <w:b/>
          <w:bCs/>
        </w:rPr>
      </w:pPr>
    </w:p>
    <w:p w14:paraId="4A97D6D9" w14:textId="05B3FFF6" w:rsidR="00A92CF7" w:rsidRPr="00A92CF7" w:rsidRDefault="00A92CF7" w:rsidP="00A92CF7">
      <w:pPr>
        <w:rPr>
          <w:b/>
          <w:bCs/>
        </w:rPr>
      </w:pPr>
      <w:r w:rsidRPr="00A92CF7">
        <w:rPr>
          <w:b/>
          <w:bCs/>
        </w:rPr>
        <w:lastRenderedPageBreak/>
        <w:t>7. Children’s Privacy</w:t>
      </w:r>
    </w:p>
    <w:p w14:paraId="3E1A2D9B" w14:textId="77777777" w:rsidR="00A92CF7" w:rsidRPr="00A92CF7" w:rsidRDefault="00A92CF7" w:rsidP="00A92CF7">
      <w:r w:rsidRPr="00A92CF7">
        <w:t xml:space="preserve">Our Services are not directed to individuals under the age of </w:t>
      </w:r>
      <w:r w:rsidRPr="00A92CF7">
        <w:rPr>
          <w:b/>
          <w:bCs/>
        </w:rPr>
        <w:t>21</w:t>
      </w:r>
      <w:r w:rsidRPr="00A92CF7">
        <w:t xml:space="preserve"> (or other legal age requirement for firearm purchase in your location). We do not knowingly collect Personal Information from anyone under that age. If we become aware that we have collected Personal Information from a person under the legal age of majority without parental consent, we will take steps to remove that information from our servers.</w:t>
      </w:r>
    </w:p>
    <w:p w14:paraId="0D5466EF" w14:textId="77777777" w:rsidR="00A92CF7" w:rsidRPr="00A92CF7" w:rsidRDefault="00A92CF7" w:rsidP="00A92CF7">
      <w:pPr>
        <w:rPr>
          <w:b/>
          <w:bCs/>
        </w:rPr>
      </w:pPr>
      <w:r w:rsidRPr="00A92CF7">
        <w:rPr>
          <w:b/>
          <w:bCs/>
        </w:rPr>
        <w:t>8. Changes to This Privacy Policy</w:t>
      </w:r>
    </w:p>
    <w:p w14:paraId="79FD8735" w14:textId="77777777" w:rsidR="00A92CF7" w:rsidRPr="00A92CF7" w:rsidRDefault="00A92CF7" w:rsidP="00A92CF7">
      <w:r w:rsidRPr="00A92CF7">
        <w:t>We may update our Privacy Policy from time to time. We will notify you of any changes by posting the new Privacy Policy on this page and updating the "Effective Date" at the top. We encourage you to review this Privacy Policy periodically for any changes.</w:t>
      </w:r>
    </w:p>
    <w:p w14:paraId="0E38F8CA" w14:textId="77777777" w:rsidR="00A92CF7" w:rsidRPr="00A92CF7" w:rsidRDefault="00A92CF7" w:rsidP="00A92CF7">
      <w:pPr>
        <w:rPr>
          <w:b/>
          <w:bCs/>
        </w:rPr>
      </w:pPr>
      <w:r w:rsidRPr="00A92CF7">
        <w:rPr>
          <w:b/>
          <w:bCs/>
        </w:rPr>
        <w:t>9. Contact Us</w:t>
      </w:r>
    </w:p>
    <w:p w14:paraId="3AAD0CAA" w14:textId="77777777" w:rsidR="00A92CF7" w:rsidRPr="00A92CF7" w:rsidRDefault="00A92CF7" w:rsidP="00A92CF7">
      <w:r w:rsidRPr="00A92CF7">
        <w:t>If you have any questions or concerns about this Privacy Policy, please contact us at:</w:t>
      </w:r>
    </w:p>
    <w:p w14:paraId="1BCBA0D7" w14:textId="03A739D7" w:rsidR="00A92CF7" w:rsidRPr="00A92CF7" w:rsidRDefault="00A92CF7" w:rsidP="00A92CF7">
      <w:r w:rsidRPr="00A92CF7">
        <w:rPr>
          <w:b/>
          <w:bCs/>
        </w:rPr>
        <w:t xml:space="preserve">Going </w:t>
      </w:r>
      <w:proofErr w:type="spellStart"/>
      <w:r w:rsidRPr="00A92CF7">
        <w:rPr>
          <w:b/>
          <w:bCs/>
        </w:rPr>
        <w:t>Going</w:t>
      </w:r>
      <w:proofErr w:type="spellEnd"/>
      <w:r w:rsidRPr="00A92CF7">
        <w:rPr>
          <w:b/>
          <w:bCs/>
        </w:rPr>
        <w:t xml:space="preserve"> Gone Gun Auctions</w:t>
      </w:r>
      <w:r w:rsidRPr="00A92CF7">
        <w:t xml:space="preserve"> </w:t>
      </w:r>
      <w:r w:rsidRPr="00A92CF7">
        <w:rPr>
          <w:b/>
          <w:bCs/>
        </w:rPr>
        <w:t>Email:</w:t>
      </w:r>
      <w:r w:rsidRPr="00A92CF7">
        <w:t xml:space="preserve"> </w:t>
      </w:r>
      <w:r>
        <w:t xml:space="preserve"> goinggoinggonegunauctions@gmail.com</w:t>
      </w:r>
      <w:r w:rsidRPr="00A92CF7">
        <w:t xml:space="preserve"> </w:t>
      </w:r>
      <w:r w:rsidRPr="00A92CF7">
        <w:rPr>
          <w:b/>
          <w:bCs/>
        </w:rPr>
        <w:t>Mailing Address:</w:t>
      </w:r>
      <w:r>
        <w:t xml:space="preserve"> Going Goi</w:t>
      </w:r>
      <w:proofErr w:type="spellStart"/>
      <w:r>
        <w:t>ng</w:t>
      </w:r>
      <w:proofErr w:type="spellEnd"/>
      <w:r>
        <w:t xml:space="preserve"> Gone Gun Auctions, PO Box 20232, Carson City, NV 89721</w:t>
      </w:r>
      <w:r w:rsidRPr="00A92CF7">
        <w:t xml:space="preserve"> </w:t>
      </w:r>
      <w:r w:rsidRPr="00A92CF7">
        <w:rPr>
          <w:b/>
          <w:bCs/>
        </w:rPr>
        <w:t>Phone:</w:t>
      </w:r>
      <w:r w:rsidRPr="00A92CF7">
        <w:t xml:space="preserve"> </w:t>
      </w:r>
      <w:r>
        <w:t>702-250-3696</w:t>
      </w:r>
    </w:p>
    <w:p w14:paraId="3DEBBD03" w14:textId="77777777" w:rsidR="00000000" w:rsidRDefault="00000000"/>
    <w:sectPr w:rsidR="007230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44C03"/>
    <w:multiLevelType w:val="multilevel"/>
    <w:tmpl w:val="CCC42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7011C6"/>
    <w:multiLevelType w:val="multilevel"/>
    <w:tmpl w:val="2A6CC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DB099A"/>
    <w:multiLevelType w:val="multilevel"/>
    <w:tmpl w:val="36EEC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48204A"/>
    <w:multiLevelType w:val="multilevel"/>
    <w:tmpl w:val="DDD0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2781198">
    <w:abstractNumId w:val="0"/>
  </w:num>
  <w:num w:numId="2" w16cid:durableId="64646182">
    <w:abstractNumId w:val="3"/>
  </w:num>
  <w:num w:numId="3" w16cid:durableId="1598250502">
    <w:abstractNumId w:val="1"/>
  </w:num>
  <w:num w:numId="4" w16cid:durableId="287778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F7"/>
    <w:rsid w:val="00001D6A"/>
    <w:rsid w:val="0028468C"/>
    <w:rsid w:val="00A92CF7"/>
    <w:rsid w:val="00D40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D8BED"/>
  <w15:chartTrackingRefBased/>
  <w15:docId w15:val="{7B07AAD4-DAE5-4D82-AB0A-6754C4CFA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2C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2C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2C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2C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2C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2C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C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C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C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C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2C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2C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2C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2C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2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CF7"/>
    <w:rPr>
      <w:rFonts w:eastAsiaTheme="majorEastAsia" w:cstheme="majorBidi"/>
      <w:color w:val="272727" w:themeColor="text1" w:themeTint="D8"/>
    </w:rPr>
  </w:style>
  <w:style w:type="paragraph" w:styleId="Title">
    <w:name w:val="Title"/>
    <w:basedOn w:val="Normal"/>
    <w:next w:val="Normal"/>
    <w:link w:val="TitleChar"/>
    <w:uiPriority w:val="10"/>
    <w:qFormat/>
    <w:rsid w:val="00A92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C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CF7"/>
    <w:pPr>
      <w:spacing w:before="160"/>
      <w:jc w:val="center"/>
    </w:pPr>
    <w:rPr>
      <w:i/>
      <w:iCs/>
      <w:color w:val="404040" w:themeColor="text1" w:themeTint="BF"/>
    </w:rPr>
  </w:style>
  <w:style w:type="character" w:customStyle="1" w:styleId="QuoteChar">
    <w:name w:val="Quote Char"/>
    <w:basedOn w:val="DefaultParagraphFont"/>
    <w:link w:val="Quote"/>
    <w:uiPriority w:val="29"/>
    <w:rsid w:val="00A92CF7"/>
    <w:rPr>
      <w:i/>
      <w:iCs/>
      <w:color w:val="404040" w:themeColor="text1" w:themeTint="BF"/>
    </w:rPr>
  </w:style>
  <w:style w:type="paragraph" w:styleId="ListParagraph">
    <w:name w:val="List Paragraph"/>
    <w:basedOn w:val="Normal"/>
    <w:uiPriority w:val="34"/>
    <w:qFormat/>
    <w:rsid w:val="00A92CF7"/>
    <w:pPr>
      <w:ind w:left="720"/>
      <w:contextualSpacing/>
    </w:pPr>
  </w:style>
  <w:style w:type="character" w:styleId="IntenseEmphasis">
    <w:name w:val="Intense Emphasis"/>
    <w:basedOn w:val="DefaultParagraphFont"/>
    <w:uiPriority w:val="21"/>
    <w:qFormat/>
    <w:rsid w:val="00A92CF7"/>
    <w:rPr>
      <w:i/>
      <w:iCs/>
      <w:color w:val="2F5496" w:themeColor="accent1" w:themeShade="BF"/>
    </w:rPr>
  </w:style>
  <w:style w:type="paragraph" w:styleId="IntenseQuote">
    <w:name w:val="Intense Quote"/>
    <w:basedOn w:val="Normal"/>
    <w:next w:val="Normal"/>
    <w:link w:val="IntenseQuoteChar"/>
    <w:uiPriority w:val="30"/>
    <w:qFormat/>
    <w:rsid w:val="00A92C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2CF7"/>
    <w:rPr>
      <w:i/>
      <w:iCs/>
      <w:color w:val="2F5496" w:themeColor="accent1" w:themeShade="BF"/>
    </w:rPr>
  </w:style>
  <w:style w:type="character" w:styleId="IntenseReference">
    <w:name w:val="Intense Reference"/>
    <w:basedOn w:val="DefaultParagraphFont"/>
    <w:uiPriority w:val="32"/>
    <w:qFormat/>
    <w:rsid w:val="00A92C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1116</Words>
  <Characters>6365</Characters>
  <Application>Microsoft Office Word</Application>
  <DocSecurity>0</DocSecurity>
  <Lines>53</Lines>
  <Paragraphs>14</Paragraphs>
  <ScaleCrop>false</ScaleCrop>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Shepherd</dc:creator>
  <cp:keywords/>
  <dc:description/>
  <cp:lastModifiedBy>Suzanne Shepherd</cp:lastModifiedBy>
  <cp:revision>1</cp:revision>
  <dcterms:created xsi:type="dcterms:W3CDTF">2025-10-11T20:21:00Z</dcterms:created>
  <dcterms:modified xsi:type="dcterms:W3CDTF">2025-10-11T20:28:00Z</dcterms:modified>
</cp:coreProperties>
</file>